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61" w:type="dxa"/>
        <w:tblInd w:w="5" w:type="dxa"/>
        <w:tblCellMar>
          <w:top w:w="13" w:type="dxa"/>
          <w:left w:w="108" w:type="dxa"/>
          <w:bottom w:w="0" w:type="dxa"/>
          <w:right w:w="44" w:type="dxa"/>
        </w:tblCellMar>
        <w:tblLook w:val="04A0" w:firstRow="1" w:lastRow="0" w:firstColumn="1" w:lastColumn="0" w:noHBand="0" w:noVBand="1"/>
      </w:tblPr>
      <w:tblGrid>
        <w:gridCol w:w="3507"/>
        <w:gridCol w:w="6054"/>
      </w:tblGrid>
      <w:tr w:rsidR="006510AE">
        <w:trPr>
          <w:trHeight w:val="838"/>
        </w:trPr>
        <w:tc>
          <w:tcPr>
            <w:tcW w:w="3507"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Project Name </w:t>
            </w:r>
          </w:p>
        </w:tc>
        <w:tc>
          <w:tcPr>
            <w:tcW w:w="6054"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86" w:firstLine="0"/>
            </w:pPr>
            <w:r>
              <w:rPr>
                <w:sz w:val="24"/>
              </w:rPr>
              <w:t xml:space="preserve">SA Article 3: Cowlitz Restoration and Recovery (CRR) </w:t>
            </w:r>
          </w:p>
          <w:p w:rsidR="006510AE" w:rsidRDefault="008F4F1D">
            <w:pPr>
              <w:pBdr>
                <w:top w:val="none" w:sz="0" w:space="0" w:color="auto"/>
                <w:left w:val="none" w:sz="0" w:space="0" w:color="auto"/>
                <w:bottom w:val="none" w:sz="0" w:space="0" w:color="auto"/>
                <w:right w:val="none" w:sz="0" w:space="0" w:color="auto"/>
              </w:pBdr>
              <w:spacing w:after="0" w:line="259" w:lineRule="auto"/>
              <w:ind w:left="84" w:firstLine="0"/>
            </w:pPr>
            <w:r>
              <w:rPr>
                <w:sz w:val="24"/>
              </w:rPr>
              <w:t xml:space="preserve">Hatchery-Associated Production (HAP) Subcommittee </w:t>
            </w:r>
          </w:p>
          <w:p w:rsidR="006510AE" w:rsidRDefault="008F4F1D">
            <w:pPr>
              <w:pBdr>
                <w:top w:val="none" w:sz="0" w:space="0" w:color="auto"/>
                <w:left w:val="none" w:sz="0" w:space="0" w:color="auto"/>
                <w:bottom w:val="none" w:sz="0" w:space="0" w:color="auto"/>
                <w:right w:val="none" w:sz="0" w:space="0" w:color="auto"/>
              </w:pBdr>
              <w:spacing w:after="0" w:line="259" w:lineRule="auto"/>
              <w:ind w:left="0" w:right="64" w:firstLine="0"/>
              <w:jc w:val="right"/>
            </w:pPr>
            <w:r>
              <w:rPr>
                <w:sz w:val="24"/>
              </w:rPr>
              <w:t xml:space="preserve">Charter </w:t>
            </w:r>
          </w:p>
        </w:tc>
      </w:tr>
      <w:tr w:rsidR="006510AE">
        <w:trPr>
          <w:trHeight w:val="298"/>
        </w:trPr>
        <w:tc>
          <w:tcPr>
            <w:tcW w:w="3507"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Date Proposal Summited </w:t>
            </w:r>
          </w:p>
        </w:tc>
        <w:tc>
          <w:tcPr>
            <w:tcW w:w="6054"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right="67" w:firstLine="0"/>
              <w:jc w:val="right"/>
            </w:pPr>
            <w:r>
              <w:rPr>
                <w:sz w:val="24"/>
              </w:rPr>
              <w:t xml:space="preserve">April 5, 2022 </w:t>
            </w:r>
          </w:p>
        </w:tc>
      </w:tr>
      <w:tr w:rsidR="006510AE">
        <w:trPr>
          <w:trHeight w:val="298"/>
        </w:trPr>
        <w:tc>
          <w:tcPr>
            <w:tcW w:w="3507"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jc w:val="both"/>
            </w:pPr>
            <w:r>
              <w:rPr>
                <w:b/>
                <w:sz w:val="24"/>
              </w:rPr>
              <w:t>Date of Requested Decision</w:t>
            </w:r>
            <w:r>
              <w:rPr>
                <w:rFonts w:ascii="Calibri" w:eastAsia="Calibri" w:hAnsi="Calibri" w:cs="Calibri"/>
                <w:sz w:val="21"/>
                <w:vertAlign w:val="superscript"/>
              </w:rPr>
              <w:t xml:space="preserve"> 1</w:t>
            </w:r>
            <w:r>
              <w:rPr>
                <w:b/>
                <w:sz w:val="24"/>
              </w:rPr>
              <w:t xml:space="preserve"> </w:t>
            </w:r>
          </w:p>
        </w:tc>
        <w:tc>
          <w:tcPr>
            <w:tcW w:w="6054"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right="67" w:firstLine="0"/>
              <w:jc w:val="right"/>
            </w:pPr>
            <w:r>
              <w:rPr>
                <w:sz w:val="24"/>
              </w:rPr>
              <w:t xml:space="preserve">May 3, 2022 </w:t>
            </w:r>
          </w:p>
        </w:tc>
      </w:tr>
      <w:tr w:rsidR="006510AE">
        <w:trPr>
          <w:trHeight w:val="300"/>
        </w:trPr>
        <w:tc>
          <w:tcPr>
            <w:tcW w:w="3507"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Requested By </w:t>
            </w:r>
          </w:p>
        </w:tc>
        <w:tc>
          <w:tcPr>
            <w:tcW w:w="6054"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right="67" w:firstLine="0"/>
              <w:jc w:val="right"/>
            </w:pPr>
            <w:r>
              <w:rPr>
                <w:sz w:val="24"/>
              </w:rPr>
              <w:t xml:space="preserve">Melora Shelton </w:t>
            </w:r>
          </w:p>
        </w:tc>
      </w:tr>
      <w:tr w:rsidR="006510AE">
        <w:trPr>
          <w:trHeight w:val="298"/>
        </w:trPr>
        <w:tc>
          <w:tcPr>
            <w:tcW w:w="3507"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Date of Decision </w:t>
            </w:r>
          </w:p>
        </w:tc>
        <w:tc>
          <w:tcPr>
            <w:tcW w:w="6054"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right="66" w:firstLine="0"/>
              <w:jc w:val="right"/>
            </w:pPr>
            <w:r>
              <w:rPr>
                <w:sz w:val="24"/>
              </w:rPr>
              <w:t xml:space="preserve">May 10, 2022 </w:t>
            </w:r>
          </w:p>
        </w:tc>
      </w:tr>
    </w:tbl>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sz w:val="20"/>
        </w:rPr>
        <w:t xml:space="preserve"> </w:t>
      </w:r>
    </w:p>
    <w:p w:rsidR="006510AE" w:rsidRDefault="008F4F1D">
      <w:pPr>
        <w:pBdr>
          <w:top w:val="none" w:sz="0" w:space="0" w:color="auto"/>
          <w:left w:val="none" w:sz="0" w:space="0" w:color="auto"/>
          <w:bottom w:val="none" w:sz="0" w:space="0" w:color="auto"/>
          <w:right w:val="none" w:sz="0" w:space="0" w:color="auto"/>
        </w:pBdr>
        <w:spacing w:after="27" w:line="259" w:lineRule="auto"/>
        <w:ind w:left="0" w:firstLine="0"/>
      </w:pPr>
      <w:r>
        <w:rPr>
          <w:rFonts w:ascii="Calibri" w:eastAsia="Calibri" w:hAnsi="Calibri" w:cs="Calibri"/>
          <w:sz w:val="16"/>
          <w:vertAlign w:val="superscript"/>
        </w:rPr>
        <w:t>1</w:t>
      </w:r>
      <w:r>
        <w:rPr>
          <w:rFonts w:ascii="Calibri" w:eastAsia="Calibri" w:hAnsi="Calibri" w:cs="Calibri"/>
          <w:sz w:val="16"/>
        </w:rPr>
        <w:t xml:space="preserve"> </w:t>
      </w:r>
      <w:r>
        <w:rPr>
          <w:rFonts w:ascii="Calibri" w:eastAsia="Calibri" w:hAnsi="Calibri" w:cs="Calibri"/>
          <w:sz w:val="16"/>
        </w:rPr>
        <w:t xml:space="preserve">Decision will become final if committee members who were not present at this meeting do not oppose this proposed decision within 7 days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sz w:val="20"/>
        </w:rPr>
        <w:t xml:space="preserve"> </w:t>
      </w:r>
    </w:p>
    <w:tbl>
      <w:tblPr>
        <w:tblStyle w:val="TableGrid"/>
        <w:tblW w:w="9557" w:type="dxa"/>
        <w:tblInd w:w="6" w:type="dxa"/>
        <w:tblCellMar>
          <w:top w:w="13" w:type="dxa"/>
          <w:left w:w="107" w:type="dxa"/>
          <w:bottom w:w="0" w:type="dxa"/>
          <w:right w:w="81" w:type="dxa"/>
        </w:tblCellMar>
        <w:tblLook w:val="04A0" w:firstRow="1" w:lastRow="0" w:firstColumn="1" w:lastColumn="0" w:noHBand="0" w:noVBand="1"/>
      </w:tblPr>
      <w:tblGrid>
        <w:gridCol w:w="9557"/>
      </w:tblGrid>
      <w:tr w:rsidR="006510AE">
        <w:trPr>
          <w:trHeight w:val="284"/>
        </w:trPr>
        <w:tc>
          <w:tcPr>
            <w:tcW w:w="9557" w:type="dxa"/>
            <w:tcBorders>
              <w:top w:val="single" w:sz="4" w:space="0" w:color="000000"/>
              <w:left w:val="single" w:sz="4" w:space="0" w:color="000000"/>
              <w:bottom w:val="single" w:sz="4" w:space="0" w:color="000000"/>
              <w:right w:val="single" w:sz="4" w:space="0" w:color="000000"/>
            </w:tcBorders>
            <w:shd w:val="clear" w:color="auto" w:fill="D9D9D9"/>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FTC Decision and Justification </w:t>
            </w:r>
          </w:p>
        </w:tc>
      </w:tr>
      <w:tr w:rsidR="006510AE">
        <w:trPr>
          <w:trHeight w:val="2036"/>
        </w:trPr>
        <w:tc>
          <w:tcPr>
            <w:tcW w:w="9557"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510AE" w:rsidRDefault="008F4F1D">
            <w:pPr>
              <w:pBdr>
                <w:top w:val="none" w:sz="0" w:space="0" w:color="auto"/>
                <w:left w:val="none" w:sz="0" w:space="0" w:color="auto"/>
                <w:bottom w:val="none" w:sz="0" w:space="0" w:color="auto"/>
                <w:right w:val="none" w:sz="0" w:space="0" w:color="auto"/>
              </w:pBdr>
              <w:spacing w:after="0"/>
              <w:ind w:left="0" w:firstLine="0"/>
            </w:pPr>
            <w:r>
              <w:t xml:space="preserve">The FTC approves the development of a subcommittee to develop the Hatchery Associated Production (HAP) element of the Cowlitz Restoration Recovery (CRR) program and the FTC approves the charter included in this decision document.  This subcommittee will provide technical expertise in HAP to develop program guidance and ways to evaluate proposals for the HAP element of the CRR program.   FTC members present at 5/3 FTC meeting included - WDFW, Ecology, Trout Unlimited, and Tacoma Power.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rsidR="006510AE" w:rsidRDefault="008F4F1D">
      <w:pPr>
        <w:pBdr>
          <w:top w:val="none" w:sz="0" w:space="0" w:color="auto"/>
          <w:left w:val="none" w:sz="0" w:space="0" w:color="auto"/>
          <w:bottom w:val="none" w:sz="0" w:space="0" w:color="auto"/>
          <w:right w:val="none" w:sz="0" w:space="0" w:color="auto"/>
        </w:pBdr>
        <w:spacing w:after="0" w:line="259" w:lineRule="auto"/>
        <w:ind w:left="77" w:firstLine="0"/>
        <w:jc w:val="center"/>
      </w:pPr>
      <w:r>
        <w:rPr>
          <w:b/>
          <w:sz w:val="20"/>
        </w:rPr>
        <w:t xml:space="preserve"> </w:t>
      </w:r>
    </w:p>
    <w:p w:rsidR="006510AE" w:rsidRDefault="008F4F1D">
      <w:pPr>
        <w:pBdr>
          <w:top w:val="none" w:sz="0" w:space="0" w:color="auto"/>
          <w:left w:val="none" w:sz="0" w:space="0" w:color="auto"/>
          <w:bottom w:val="none" w:sz="0" w:space="0" w:color="auto"/>
          <w:right w:val="none" w:sz="0" w:space="0" w:color="auto"/>
        </w:pBdr>
        <w:spacing w:after="0" w:line="259" w:lineRule="auto"/>
        <w:ind w:left="77" w:firstLine="0"/>
        <w:jc w:val="center"/>
      </w:pPr>
      <w:r>
        <w:rPr>
          <w:b/>
          <w:sz w:val="20"/>
        </w:rPr>
        <w:t xml:space="preserve"> </w:t>
      </w:r>
    </w:p>
    <w:tbl>
      <w:tblPr>
        <w:tblStyle w:val="TableGrid"/>
        <w:tblW w:w="9557" w:type="dxa"/>
        <w:tblInd w:w="6" w:type="dxa"/>
        <w:tblCellMar>
          <w:top w:w="12" w:type="dxa"/>
          <w:left w:w="107" w:type="dxa"/>
          <w:bottom w:w="0" w:type="dxa"/>
          <w:right w:w="115" w:type="dxa"/>
        </w:tblCellMar>
        <w:tblLook w:val="04A0" w:firstRow="1" w:lastRow="0" w:firstColumn="1" w:lastColumn="0" w:noHBand="0" w:noVBand="1"/>
      </w:tblPr>
      <w:tblGrid>
        <w:gridCol w:w="9557"/>
      </w:tblGrid>
      <w:tr w:rsidR="006510AE">
        <w:trPr>
          <w:trHeight w:val="283"/>
        </w:trPr>
        <w:tc>
          <w:tcPr>
            <w:tcW w:w="9557" w:type="dxa"/>
            <w:tcBorders>
              <w:top w:val="single" w:sz="4" w:space="0" w:color="000000"/>
              <w:left w:val="single" w:sz="4" w:space="0" w:color="000000"/>
              <w:bottom w:val="single" w:sz="4" w:space="0" w:color="000000"/>
              <w:right w:val="single" w:sz="4" w:space="0" w:color="000000"/>
            </w:tcBorders>
            <w:shd w:val="clear" w:color="auto" w:fill="D9D9D9"/>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Proposed Decision for Consideration </w:t>
            </w:r>
          </w:p>
        </w:tc>
      </w:tr>
      <w:tr w:rsidR="006510AE">
        <w:trPr>
          <w:trHeight w:val="1444"/>
        </w:trPr>
        <w:tc>
          <w:tcPr>
            <w:tcW w:w="9557"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4" w:line="259" w:lineRule="auto"/>
              <w:ind w:left="0" w:firstLine="0"/>
            </w:pPr>
            <w:r>
              <w:t xml:space="preserve">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The FTC technical representatives listed below (“Membership”) recommend that the FTC formalize a subcommittee to advise on hatchery-associated production (HAP) elements of the CRR program and approve the HAP Subcommittee Charter described herein. </w:t>
            </w:r>
          </w:p>
        </w:tc>
      </w:tr>
    </w:tbl>
    <w:p w:rsidR="006510AE" w:rsidRDefault="008F4F1D">
      <w:pPr>
        <w:pBdr>
          <w:top w:val="none" w:sz="0" w:space="0" w:color="auto"/>
          <w:left w:val="none" w:sz="0" w:space="0" w:color="auto"/>
          <w:bottom w:val="none" w:sz="0" w:space="0" w:color="auto"/>
          <w:right w:val="none" w:sz="0" w:space="0" w:color="auto"/>
        </w:pBdr>
        <w:spacing w:after="0" w:line="259" w:lineRule="auto"/>
        <w:ind w:left="88" w:firstLine="0"/>
        <w:jc w:val="center"/>
      </w:pPr>
      <w:r>
        <w:rPr>
          <w:b/>
          <w:sz w:val="24"/>
        </w:rPr>
        <w:t xml:space="preserve"> </w:t>
      </w:r>
    </w:p>
    <w:tbl>
      <w:tblPr>
        <w:tblStyle w:val="TableGrid"/>
        <w:tblW w:w="9557" w:type="dxa"/>
        <w:tblInd w:w="6" w:type="dxa"/>
        <w:tblCellMar>
          <w:top w:w="12" w:type="dxa"/>
          <w:left w:w="107" w:type="dxa"/>
          <w:bottom w:w="0" w:type="dxa"/>
          <w:right w:w="68" w:type="dxa"/>
        </w:tblCellMar>
        <w:tblLook w:val="04A0" w:firstRow="1" w:lastRow="0" w:firstColumn="1" w:lastColumn="0" w:noHBand="0" w:noVBand="1"/>
      </w:tblPr>
      <w:tblGrid>
        <w:gridCol w:w="9557"/>
      </w:tblGrid>
      <w:tr w:rsidR="006510AE">
        <w:trPr>
          <w:trHeight w:val="283"/>
        </w:trPr>
        <w:tc>
          <w:tcPr>
            <w:tcW w:w="9557" w:type="dxa"/>
            <w:tcBorders>
              <w:top w:val="single" w:sz="4" w:space="0" w:color="000000"/>
              <w:left w:val="single" w:sz="4" w:space="0" w:color="000000"/>
              <w:bottom w:val="single" w:sz="4" w:space="0" w:color="000000"/>
              <w:right w:val="single" w:sz="4" w:space="0" w:color="000000"/>
            </w:tcBorders>
            <w:shd w:val="clear" w:color="auto" w:fill="D9D9D9"/>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Background </w:t>
            </w:r>
          </w:p>
        </w:tc>
      </w:tr>
      <w:tr w:rsidR="006510AE">
        <w:trPr>
          <w:trHeight w:val="4819"/>
        </w:trPr>
        <w:tc>
          <w:tcPr>
            <w:tcW w:w="9557"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21" w:firstLine="0"/>
              <w:jc w:val="center"/>
            </w:pPr>
            <w:r>
              <w:rPr>
                <w:b/>
              </w:rPr>
              <w:lastRenderedPageBreak/>
              <w:t xml:space="preserve"> </w:t>
            </w:r>
          </w:p>
          <w:p w:rsidR="006510AE" w:rsidRDefault="008F4F1D">
            <w:pPr>
              <w:pBdr>
                <w:top w:val="none" w:sz="0" w:space="0" w:color="auto"/>
                <w:left w:val="none" w:sz="0" w:space="0" w:color="auto"/>
                <w:bottom w:val="none" w:sz="0" w:space="0" w:color="auto"/>
                <w:right w:val="none" w:sz="0" w:space="0" w:color="auto"/>
              </w:pBdr>
              <w:spacing w:after="0" w:line="259" w:lineRule="auto"/>
              <w:ind w:left="0" w:right="39" w:firstLine="0"/>
              <w:jc w:val="center"/>
            </w:pPr>
            <w:r>
              <w:rPr>
                <w:b/>
              </w:rPr>
              <w:t xml:space="preserve">CRR Hatchery-Associated Production (HAP) Subcommittee Charter </w:t>
            </w:r>
          </w:p>
          <w:p w:rsidR="006510AE" w:rsidRDefault="008F4F1D">
            <w:pPr>
              <w:pBdr>
                <w:top w:val="none" w:sz="0" w:space="0" w:color="auto"/>
                <w:left w:val="none" w:sz="0" w:space="0" w:color="auto"/>
                <w:bottom w:val="none" w:sz="0" w:space="0" w:color="auto"/>
                <w:right w:val="none" w:sz="0" w:space="0" w:color="auto"/>
              </w:pBdr>
              <w:spacing w:after="0" w:line="259" w:lineRule="auto"/>
              <w:ind w:left="21" w:firstLine="0"/>
              <w:jc w:val="center"/>
            </w:pPr>
            <w:r>
              <w:rPr>
                <w:b/>
              </w:rPr>
              <w:t xml:space="preserve">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Directive: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510AE" w:rsidRDefault="008F4F1D">
            <w:pPr>
              <w:pBdr>
                <w:top w:val="none" w:sz="0" w:space="0" w:color="auto"/>
                <w:left w:val="none" w:sz="0" w:space="0" w:color="auto"/>
                <w:bottom w:val="none" w:sz="0" w:space="0" w:color="auto"/>
                <w:right w:val="none" w:sz="0" w:space="0" w:color="auto"/>
              </w:pBdr>
              <w:spacing w:after="0" w:line="243" w:lineRule="auto"/>
              <w:ind w:left="0" w:firstLine="0"/>
            </w:pPr>
            <w:r>
              <w:t xml:space="preserve">The Cowlitz Fisheries Technical Committee (FTC) directs the HAP subcommittee to inform HAP elements of the CRR program. The HAP subcommittee’s primary function is to provide recommendations and guidance to the FTC for decision making associated with the implementation and evaluation of the HAP elements CRR Program.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Roles: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rsidR="006510AE" w:rsidRDefault="008F4F1D">
            <w:pPr>
              <w:pBdr>
                <w:top w:val="none" w:sz="0" w:space="0" w:color="auto"/>
                <w:left w:val="none" w:sz="0" w:space="0" w:color="auto"/>
                <w:bottom w:val="none" w:sz="0" w:space="0" w:color="auto"/>
                <w:right w:val="none" w:sz="0" w:space="0" w:color="auto"/>
              </w:pBdr>
              <w:spacing w:after="0" w:line="240" w:lineRule="auto"/>
              <w:ind w:left="0" w:right="36" w:firstLine="0"/>
            </w:pPr>
            <w:r>
              <w:t xml:space="preserve">The HAP subcommittee operates as a recommending body to the FTC on implementation of the HAP elements of the CRR program.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510AE" w:rsidRDefault="008F4F1D">
            <w:pPr>
              <w:pBdr>
                <w:top w:val="none" w:sz="0" w:space="0" w:color="auto"/>
                <w:left w:val="none" w:sz="0" w:space="0" w:color="auto"/>
                <w:bottom w:val="none" w:sz="0" w:space="0" w:color="auto"/>
                <w:right w:val="none" w:sz="0" w:space="0" w:color="auto"/>
              </w:pBdr>
              <w:spacing w:line="240" w:lineRule="auto"/>
              <w:ind w:left="0" w:right="11" w:firstLine="0"/>
            </w:pPr>
            <w:r>
              <w:t xml:space="preserve">HAP subcommittee (subcommittee): The HAP subcommittee’s </w:t>
            </w:r>
            <w:r>
              <w:t xml:space="preserve">role is to develop and/or review materials and provide the FTC with HAP recommendations and rationales for decision making in support of the CRR program.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rsidR="006510AE" w:rsidRDefault="006510AE">
      <w:pPr>
        <w:pBdr>
          <w:top w:val="none" w:sz="0" w:space="0" w:color="auto"/>
          <w:left w:val="none" w:sz="0" w:space="0" w:color="auto"/>
          <w:bottom w:val="none" w:sz="0" w:space="0" w:color="auto"/>
          <w:right w:val="none" w:sz="0" w:space="0" w:color="auto"/>
        </w:pBdr>
        <w:spacing w:after="0" w:line="259" w:lineRule="auto"/>
        <w:ind w:left="-1440" w:right="10780" w:firstLine="0"/>
      </w:pPr>
    </w:p>
    <w:tbl>
      <w:tblPr>
        <w:tblStyle w:val="TableGrid"/>
        <w:tblW w:w="9561" w:type="dxa"/>
        <w:tblInd w:w="5" w:type="dxa"/>
        <w:tblCellMar>
          <w:top w:w="11" w:type="dxa"/>
          <w:left w:w="108" w:type="dxa"/>
          <w:bottom w:w="0" w:type="dxa"/>
          <w:right w:w="115" w:type="dxa"/>
        </w:tblCellMar>
        <w:tblLook w:val="04A0" w:firstRow="1" w:lastRow="0" w:firstColumn="1" w:lastColumn="0" w:noHBand="0" w:noVBand="1"/>
      </w:tblPr>
      <w:tblGrid>
        <w:gridCol w:w="9561"/>
      </w:tblGrid>
      <w:tr w:rsidR="006510AE">
        <w:trPr>
          <w:trHeight w:val="12847"/>
        </w:trPr>
        <w:tc>
          <w:tcPr>
            <w:tcW w:w="9561"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ind w:left="0" w:firstLine="0"/>
            </w:pPr>
            <w:r>
              <w:lastRenderedPageBreak/>
              <w:t xml:space="preserve">Cowlitz Fisheries Technical Committee (FTC): The FTC will consider recommendations provided by the HAP subcommittee; and make CRR Program decisions such as CRR fund expenditures toward program implementation.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510AE" w:rsidRDefault="008F4F1D">
            <w:pPr>
              <w:pBdr>
                <w:top w:val="none" w:sz="0" w:space="0" w:color="auto"/>
                <w:left w:val="none" w:sz="0" w:space="0" w:color="auto"/>
                <w:bottom w:val="none" w:sz="0" w:space="0" w:color="auto"/>
                <w:right w:val="none" w:sz="0" w:space="0" w:color="auto"/>
              </w:pBdr>
              <w:spacing w:after="0" w:line="238" w:lineRule="auto"/>
              <w:ind w:left="0" w:firstLine="0"/>
            </w:pPr>
            <w:r>
              <w:t xml:space="preserve">Tacoma Power Natural Resources (Tacoma): Tacoma will chair and staff the subcommittee, produce draft materials, and is responsible for communications and meeting logistics.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Scope of Work: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Anticipated tasks of the HAP subcommittee include but are not limited to: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510AE" w:rsidRDefault="008F4F1D">
            <w:pPr>
              <w:numPr>
                <w:ilvl w:val="0"/>
                <w:numId w:val="1"/>
              </w:numPr>
              <w:pBdr>
                <w:top w:val="none" w:sz="0" w:space="0" w:color="auto"/>
                <w:left w:val="none" w:sz="0" w:space="0" w:color="auto"/>
                <w:bottom w:val="none" w:sz="0" w:space="0" w:color="auto"/>
                <w:right w:val="none" w:sz="0" w:space="0" w:color="auto"/>
              </w:pBdr>
              <w:spacing w:after="0" w:line="259" w:lineRule="auto"/>
              <w:ind w:hanging="360"/>
            </w:pPr>
            <w:r>
              <w:t xml:space="preserve">Collaborate/recommend to FTC HAP documents for approval  </w:t>
            </w:r>
          </w:p>
          <w:p w:rsidR="006510AE" w:rsidRDefault="008F4F1D">
            <w:pPr>
              <w:numPr>
                <w:ilvl w:val="0"/>
                <w:numId w:val="1"/>
              </w:numPr>
              <w:pBdr>
                <w:top w:val="none" w:sz="0" w:space="0" w:color="auto"/>
                <w:left w:val="none" w:sz="0" w:space="0" w:color="auto"/>
                <w:bottom w:val="none" w:sz="0" w:space="0" w:color="auto"/>
                <w:right w:val="none" w:sz="0" w:space="0" w:color="auto"/>
              </w:pBdr>
              <w:spacing w:after="0" w:line="259" w:lineRule="auto"/>
              <w:ind w:hanging="360"/>
            </w:pPr>
            <w:r>
              <w:t xml:space="preserve">Advise/review/provide feedback on HAP documents that may not require FTC approval  </w:t>
            </w:r>
          </w:p>
          <w:p w:rsidR="006510AE" w:rsidRDefault="008F4F1D">
            <w:pPr>
              <w:numPr>
                <w:ilvl w:val="0"/>
                <w:numId w:val="1"/>
              </w:numPr>
              <w:pBdr>
                <w:top w:val="none" w:sz="0" w:space="0" w:color="auto"/>
                <w:left w:val="none" w:sz="0" w:space="0" w:color="auto"/>
                <w:bottom w:val="none" w:sz="0" w:space="0" w:color="auto"/>
                <w:right w:val="none" w:sz="0" w:space="0" w:color="auto"/>
              </w:pBdr>
              <w:spacing w:after="10" w:line="245" w:lineRule="auto"/>
              <w:ind w:hanging="360"/>
            </w:pPr>
            <w:r>
              <w:t xml:space="preserve">Develop and / or provide assistance and technical expertise to potential project proponents </w:t>
            </w:r>
          </w:p>
          <w:p w:rsidR="006510AE" w:rsidRDefault="008F4F1D">
            <w:pPr>
              <w:numPr>
                <w:ilvl w:val="0"/>
                <w:numId w:val="1"/>
              </w:numPr>
              <w:pBdr>
                <w:top w:val="none" w:sz="0" w:space="0" w:color="auto"/>
                <w:left w:val="none" w:sz="0" w:space="0" w:color="auto"/>
                <w:bottom w:val="none" w:sz="0" w:space="0" w:color="auto"/>
                <w:right w:val="none" w:sz="0" w:space="0" w:color="auto"/>
              </w:pBdr>
              <w:spacing w:after="0" w:line="259" w:lineRule="auto"/>
              <w:ind w:hanging="360"/>
            </w:pPr>
            <w:r>
              <w:t xml:space="preserve">Evaluate grant applications, recommend projects to FTC for funding </w:t>
            </w:r>
          </w:p>
          <w:p w:rsidR="006510AE" w:rsidRDefault="008F4F1D">
            <w:pPr>
              <w:numPr>
                <w:ilvl w:val="0"/>
                <w:numId w:val="1"/>
              </w:numPr>
              <w:pBdr>
                <w:top w:val="none" w:sz="0" w:space="0" w:color="auto"/>
                <w:left w:val="none" w:sz="0" w:space="0" w:color="auto"/>
                <w:bottom w:val="none" w:sz="0" w:space="0" w:color="auto"/>
                <w:right w:val="none" w:sz="0" w:space="0" w:color="auto"/>
              </w:pBdr>
              <w:spacing w:after="0" w:line="259" w:lineRule="auto"/>
              <w:ind w:hanging="360"/>
            </w:pPr>
            <w:r>
              <w:t xml:space="preserve">Provide technical advice as needed during program development and implementation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Membership: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rsidR="006510AE" w:rsidRDefault="008F4F1D">
            <w:pPr>
              <w:pBdr>
                <w:top w:val="none" w:sz="0" w:space="0" w:color="auto"/>
                <w:left w:val="none" w:sz="0" w:space="0" w:color="auto"/>
                <w:bottom w:val="none" w:sz="0" w:space="0" w:color="auto"/>
                <w:right w:val="none" w:sz="0" w:space="0" w:color="auto"/>
              </w:pBdr>
              <w:spacing w:after="6" w:line="235" w:lineRule="auto"/>
              <w:ind w:left="0" w:firstLine="0"/>
            </w:pPr>
            <w:r>
              <w:t xml:space="preserve">The CRR subcommittee is open to all FTC members and technical representatives. As of May </w:t>
            </w:r>
            <w:r>
              <w:t>2021, Tacoma Power and WDFW are the core organizations represented in the subcommittee with representatives listed below. FTC and technical representatives may participate as interested or be added as a core member.</w:t>
            </w:r>
            <w:r>
              <w:rPr>
                <w:rFonts w:ascii="Calibri" w:eastAsia="Calibri" w:hAnsi="Calibri" w:cs="Calibri"/>
              </w:rPr>
              <w:t xml:space="preserve">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rPr>
              <w:t xml:space="preserve"> </w:t>
            </w:r>
          </w:p>
          <w:tbl>
            <w:tblPr>
              <w:tblStyle w:val="TableGrid"/>
              <w:tblW w:w="7360" w:type="dxa"/>
              <w:tblInd w:w="992" w:type="dxa"/>
              <w:tblCellMar>
                <w:top w:w="13" w:type="dxa"/>
                <w:left w:w="107" w:type="dxa"/>
                <w:bottom w:w="0" w:type="dxa"/>
                <w:right w:w="65" w:type="dxa"/>
              </w:tblCellMar>
              <w:tblLook w:val="04A0" w:firstRow="1" w:lastRow="0" w:firstColumn="1" w:lastColumn="0" w:noHBand="0" w:noVBand="1"/>
            </w:tblPr>
            <w:tblGrid>
              <w:gridCol w:w="4587"/>
              <w:gridCol w:w="2773"/>
            </w:tblGrid>
            <w:tr w:rsidR="006510AE">
              <w:trPr>
                <w:trHeight w:val="497"/>
              </w:trPr>
              <w:tc>
                <w:tcPr>
                  <w:tcW w:w="4587" w:type="dxa"/>
                  <w:tcBorders>
                    <w:top w:val="single" w:sz="4" w:space="0" w:color="000000"/>
                    <w:left w:val="single" w:sz="4" w:space="0" w:color="000000"/>
                    <w:bottom w:val="single" w:sz="4" w:space="0" w:color="000000"/>
                    <w:right w:val="single" w:sz="4" w:space="0" w:color="000000"/>
                  </w:tcBorders>
                  <w:shd w:val="clear" w:color="auto" w:fill="F2F2F2"/>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i/>
                    </w:rPr>
                    <w:t xml:space="preserve">Organization </w:t>
                  </w:r>
                </w:p>
              </w:tc>
              <w:tc>
                <w:tcPr>
                  <w:tcW w:w="2773" w:type="dxa"/>
                  <w:tcBorders>
                    <w:top w:val="single" w:sz="4" w:space="0" w:color="000000"/>
                    <w:left w:val="single" w:sz="4" w:space="0" w:color="000000"/>
                    <w:bottom w:val="single" w:sz="4" w:space="0" w:color="000000"/>
                    <w:right w:val="single" w:sz="4" w:space="0" w:color="000000"/>
                  </w:tcBorders>
                  <w:shd w:val="clear" w:color="auto" w:fill="F2F2F2"/>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i/>
                    </w:rPr>
                    <w:t xml:space="preserve">Contact </w:t>
                  </w:r>
                </w:p>
              </w:tc>
            </w:tr>
            <w:tr w:rsidR="006510AE">
              <w:trPr>
                <w:trHeight w:val="503"/>
              </w:trPr>
              <w:tc>
                <w:tcPr>
                  <w:tcW w:w="4587"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Tacoma Power, Facilitator </w:t>
                  </w:r>
                </w:p>
              </w:tc>
              <w:tc>
                <w:tcPr>
                  <w:tcW w:w="2773"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Melora Shelton </w:t>
                  </w:r>
                </w:p>
              </w:tc>
            </w:tr>
            <w:tr w:rsidR="006510AE">
              <w:trPr>
                <w:trHeight w:val="502"/>
              </w:trPr>
              <w:tc>
                <w:tcPr>
                  <w:tcW w:w="4587"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Tacoma Power </w:t>
                  </w:r>
                </w:p>
              </w:tc>
              <w:tc>
                <w:tcPr>
                  <w:tcW w:w="2773"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Travis Nelson </w:t>
                  </w:r>
                </w:p>
              </w:tc>
            </w:tr>
            <w:tr w:rsidR="006510AE">
              <w:trPr>
                <w:trHeight w:val="499"/>
              </w:trPr>
              <w:tc>
                <w:tcPr>
                  <w:tcW w:w="4587"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Tacoma Power </w:t>
                  </w:r>
                </w:p>
              </w:tc>
              <w:tc>
                <w:tcPr>
                  <w:tcW w:w="2773"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Eric Shoblom </w:t>
                  </w:r>
                </w:p>
              </w:tc>
            </w:tr>
            <w:tr w:rsidR="006510AE">
              <w:trPr>
                <w:trHeight w:val="694"/>
              </w:trPr>
              <w:tc>
                <w:tcPr>
                  <w:tcW w:w="4587" w:type="dxa"/>
                  <w:tcBorders>
                    <w:top w:val="single" w:sz="4" w:space="0" w:color="000000"/>
                    <w:left w:val="single" w:sz="4" w:space="0" w:color="000000"/>
                    <w:bottom w:val="single" w:sz="4" w:space="0" w:color="000000"/>
                    <w:right w:val="single" w:sz="4" w:space="0" w:color="000000"/>
                  </w:tcBorders>
                  <w:vAlign w:val="center"/>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Tacoma Power </w:t>
                  </w:r>
                </w:p>
              </w:tc>
              <w:tc>
                <w:tcPr>
                  <w:tcW w:w="2773" w:type="dxa"/>
                  <w:tcBorders>
                    <w:top w:val="single" w:sz="4" w:space="0" w:color="000000"/>
                    <w:left w:val="single" w:sz="4" w:space="0" w:color="000000"/>
                    <w:bottom w:val="single" w:sz="4" w:space="0" w:color="000000"/>
                    <w:right w:val="single" w:sz="4" w:space="0" w:color="000000"/>
                  </w:tcBorders>
                  <w:vAlign w:val="center"/>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Phil Sandstrom </w:t>
                  </w:r>
                </w:p>
              </w:tc>
            </w:tr>
            <w:tr w:rsidR="006510AE">
              <w:trPr>
                <w:trHeight w:val="694"/>
              </w:trPr>
              <w:tc>
                <w:tcPr>
                  <w:tcW w:w="4587" w:type="dxa"/>
                  <w:tcBorders>
                    <w:top w:val="single" w:sz="4" w:space="0" w:color="000000"/>
                    <w:left w:val="single" w:sz="4" w:space="0" w:color="000000"/>
                    <w:bottom w:val="single" w:sz="4" w:space="0" w:color="000000"/>
                    <w:right w:val="single" w:sz="4" w:space="0" w:color="000000"/>
                  </w:tcBorders>
                  <w:vAlign w:val="center"/>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Washington Department of Ecology </w:t>
                  </w:r>
                </w:p>
              </w:tc>
              <w:tc>
                <w:tcPr>
                  <w:tcW w:w="2773" w:type="dxa"/>
                  <w:tcBorders>
                    <w:top w:val="single" w:sz="4" w:space="0" w:color="000000"/>
                    <w:left w:val="single" w:sz="4" w:space="0" w:color="000000"/>
                    <w:bottom w:val="single" w:sz="4" w:space="0" w:color="000000"/>
                    <w:right w:val="single" w:sz="4" w:space="0" w:color="000000"/>
                  </w:tcBorders>
                  <w:vAlign w:val="center"/>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Anne Baxter </w:t>
                  </w:r>
                </w:p>
              </w:tc>
            </w:tr>
            <w:tr w:rsidR="006510AE">
              <w:trPr>
                <w:trHeight w:val="502"/>
              </w:trPr>
              <w:tc>
                <w:tcPr>
                  <w:tcW w:w="4587"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Washington Department of Fish and Wildlife  </w:t>
                  </w:r>
                </w:p>
              </w:tc>
              <w:tc>
                <w:tcPr>
                  <w:tcW w:w="2773"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Brian Gale </w:t>
                  </w:r>
                </w:p>
              </w:tc>
            </w:tr>
            <w:tr w:rsidR="006510AE">
              <w:trPr>
                <w:trHeight w:val="499"/>
              </w:trPr>
              <w:tc>
                <w:tcPr>
                  <w:tcW w:w="4587"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Washington Department of Fish and Wildlife  </w:t>
                  </w:r>
                </w:p>
              </w:tc>
              <w:tc>
                <w:tcPr>
                  <w:tcW w:w="2773"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Sam Gibbons </w:t>
                  </w:r>
                </w:p>
              </w:tc>
            </w:tr>
            <w:tr w:rsidR="006510AE">
              <w:trPr>
                <w:trHeight w:val="502"/>
              </w:trPr>
              <w:tc>
                <w:tcPr>
                  <w:tcW w:w="4587"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Washington Department of Fish and Wildlife  </w:t>
                  </w:r>
                </w:p>
              </w:tc>
              <w:tc>
                <w:tcPr>
                  <w:tcW w:w="2773"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Peggy Miller </w:t>
                  </w:r>
                </w:p>
              </w:tc>
            </w:tr>
          </w:tbl>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rPr>
              <w:lastRenderedPageBreak/>
              <w:t xml:space="preserve">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tc>
      </w:tr>
    </w:tbl>
    <w:p w:rsidR="006510AE" w:rsidRDefault="008F4F1D">
      <w:pPr>
        <w:spacing w:after="0" w:line="259" w:lineRule="auto"/>
        <w:ind w:left="115"/>
      </w:pPr>
      <w:r>
        <w:rPr>
          <w:b/>
        </w:rPr>
        <w:lastRenderedPageBreak/>
        <w:t xml:space="preserve">Meetings: </w:t>
      </w:r>
    </w:p>
    <w:p w:rsidR="006510AE" w:rsidRDefault="008F4F1D">
      <w:pPr>
        <w:spacing w:after="0" w:line="259" w:lineRule="auto"/>
        <w:ind w:left="105" w:firstLine="0"/>
      </w:pPr>
      <w:r>
        <w:rPr>
          <w:b/>
        </w:rPr>
        <w:t xml:space="preserve"> </w:t>
      </w:r>
    </w:p>
    <w:p w:rsidR="006510AE" w:rsidRDefault="008F4F1D">
      <w:pPr>
        <w:ind w:left="115"/>
      </w:pPr>
      <w:r>
        <w:t>The HAP subcommittee committee will meet twice monthly. The subcommittee will meet in a virtual meeting platform, in-person meetings may be an option in the future. The primary meeting will be on the first Tuesday, following the monthly FTC meeting. The secondary meeting will be on the third Wednesday, as needed. If there are no meeting topics to discuss, no meeting will be held. An effort will be made to announce all HAP subcommittee topics to the FTC and technical representatives 7 days before the subcomm</w:t>
      </w:r>
      <w:r>
        <w:t xml:space="preserve">ittee meeting. Meetings will occur at key decision points to develop and review program guidance documents, review project proposals, and make funding recommendations. Additional meetings will be scheduled as needed.  </w:t>
      </w:r>
    </w:p>
    <w:p w:rsidR="006510AE" w:rsidRDefault="008F4F1D">
      <w:pPr>
        <w:spacing w:after="0" w:line="259" w:lineRule="auto"/>
        <w:ind w:left="105" w:firstLine="0"/>
      </w:pPr>
      <w:r>
        <w:t xml:space="preserve"> </w:t>
      </w:r>
    </w:p>
    <w:p w:rsidR="006510AE" w:rsidRDefault="008F4F1D">
      <w:pPr>
        <w:spacing w:after="0" w:line="259" w:lineRule="auto"/>
        <w:ind w:left="115"/>
      </w:pPr>
      <w:r>
        <w:rPr>
          <w:b/>
        </w:rPr>
        <w:t xml:space="preserve">Recommended documentation: </w:t>
      </w:r>
    </w:p>
    <w:p w:rsidR="006510AE" w:rsidRDefault="008F4F1D">
      <w:pPr>
        <w:spacing w:after="0" w:line="259" w:lineRule="auto"/>
        <w:ind w:left="105" w:firstLine="0"/>
      </w:pPr>
      <w:r>
        <w:rPr>
          <w:b/>
        </w:rPr>
        <w:t xml:space="preserve"> </w:t>
      </w:r>
    </w:p>
    <w:p w:rsidR="006510AE" w:rsidRDefault="008F4F1D">
      <w:pPr>
        <w:ind w:left="115"/>
      </w:pPr>
      <w:r>
        <w:t xml:space="preserve">Summary notes for each subcommittee meeting will be prepared and made available to FTC members. The notes will include a summary of major discussion points, decisions discussed, alternatives considered, summary of progress on milestones, and next steps. </w:t>
      </w:r>
    </w:p>
    <w:p w:rsidR="006510AE" w:rsidRDefault="008F4F1D">
      <w:pPr>
        <w:spacing w:after="0" w:line="259" w:lineRule="auto"/>
        <w:ind w:left="105" w:firstLine="0"/>
      </w:pPr>
      <w:r>
        <w:t xml:space="preserve"> </w:t>
      </w:r>
    </w:p>
    <w:p w:rsidR="006510AE" w:rsidRDefault="008F4F1D">
      <w:pPr>
        <w:ind w:left="115"/>
      </w:pPr>
      <w:r>
        <w:t>Subcommittee recommendations for FTC decisions will be formatted as a decision document and may be accompanied by a briefing memo and/or formal presentation. Decision documents will be prepared by the subcommittee and submitted to the FTC consistent with FTC protocols. Drafts of final decision documents will be distributed to the FTC one week in advance of FTC meetings as needed to support decision making for the HAP elements of the CRR program. The HAP subcommittee strives for consensus decision making and</w:t>
      </w:r>
      <w:r>
        <w:t xml:space="preserve"> will include in any recommendation to the FTC whether consensus was reached among core members; if consensus is not reached all perspectives will be provided to the FTC. </w:t>
      </w:r>
      <w:r>
        <w:rPr>
          <w:i/>
        </w:rPr>
        <w:t xml:space="preserve"> </w:t>
      </w:r>
    </w:p>
    <w:p w:rsidR="006510AE" w:rsidRDefault="008F4F1D">
      <w:pPr>
        <w:spacing w:after="0" w:line="259" w:lineRule="auto"/>
        <w:ind w:left="105" w:firstLine="0"/>
      </w:pPr>
      <w:r>
        <w:t xml:space="preserve">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tbl>
      <w:tblPr>
        <w:tblStyle w:val="TableGrid"/>
        <w:tblW w:w="9557" w:type="dxa"/>
        <w:tblInd w:w="6" w:type="dxa"/>
        <w:tblCellMar>
          <w:top w:w="10" w:type="dxa"/>
          <w:left w:w="107" w:type="dxa"/>
          <w:bottom w:w="0" w:type="dxa"/>
          <w:right w:w="115" w:type="dxa"/>
        </w:tblCellMar>
        <w:tblLook w:val="04A0" w:firstRow="1" w:lastRow="0" w:firstColumn="1" w:lastColumn="0" w:noHBand="0" w:noVBand="1"/>
      </w:tblPr>
      <w:tblGrid>
        <w:gridCol w:w="9557"/>
      </w:tblGrid>
      <w:tr w:rsidR="006510AE">
        <w:trPr>
          <w:trHeight w:val="259"/>
        </w:trPr>
        <w:tc>
          <w:tcPr>
            <w:tcW w:w="9557" w:type="dxa"/>
            <w:tcBorders>
              <w:top w:val="single" w:sz="4" w:space="0" w:color="000000"/>
              <w:left w:val="single" w:sz="4" w:space="0" w:color="000000"/>
              <w:bottom w:val="single" w:sz="4" w:space="0" w:color="000000"/>
              <w:right w:val="single" w:sz="4" w:space="0" w:color="000000"/>
            </w:tcBorders>
            <w:shd w:val="clear" w:color="auto" w:fill="D9D9D9"/>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Coordination Need </w:t>
            </w:r>
          </w:p>
        </w:tc>
      </w:tr>
      <w:tr w:rsidR="006510AE">
        <w:trPr>
          <w:trHeight w:val="1444"/>
        </w:trPr>
        <w:tc>
          <w:tcPr>
            <w:tcW w:w="9557"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The HAP </w:t>
            </w:r>
            <w:r>
              <w:t xml:space="preserve">subcommittee provides documents, information, and recommendations to the FTC.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The HAP subcommittee has two standing meetings: immediately following the FTC meeting (first Tuesday) and on the third Wednesday of the month. FTC members and technical representatives may participate as interested or be added as a core member at any time. </w:t>
            </w:r>
          </w:p>
        </w:tc>
      </w:tr>
    </w:tbl>
    <w:p w:rsidR="006510AE" w:rsidRDefault="008F4F1D">
      <w:pPr>
        <w:pBdr>
          <w:top w:val="none" w:sz="0" w:space="0" w:color="auto"/>
          <w:left w:val="none" w:sz="0" w:space="0" w:color="auto"/>
          <w:bottom w:val="none" w:sz="0" w:space="0" w:color="auto"/>
          <w:right w:val="none" w:sz="0" w:space="0" w:color="auto"/>
        </w:pBdr>
        <w:spacing w:after="0" w:line="259" w:lineRule="auto"/>
        <w:ind w:left="83" w:firstLine="0"/>
        <w:jc w:val="center"/>
      </w:pPr>
      <w:r>
        <w:rPr>
          <w:b/>
        </w:rPr>
        <w:t xml:space="preserve"> </w:t>
      </w:r>
    </w:p>
    <w:tbl>
      <w:tblPr>
        <w:tblStyle w:val="TableGrid"/>
        <w:tblW w:w="9557" w:type="dxa"/>
        <w:tblInd w:w="6" w:type="dxa"/>
        <w:tblCellMar>
          <w:top w:w="10" w:type="dxa"/>
          <w:left w:w="107" w:type="dxa"/>
          <w:bottom w:w="0" w:type="dxa"/>
          <w:right w:w="115" w:type="dxa"/>
        </w:tblCellMar>
        <w:tblLook w:val="04A0" w:firstRow="1" w:lastRow="0" w:firstColumn="1" w:lastColumn="0" w:noHBand="0" w:noVBand="1"/>
      </w:tblPr>
      <w:tblGrid>
        <w:gridCol w:w="9557"/>
      </w:tblGrid>
      <w:tr w:rsidR="006510AE">
        <w:trPr>
          <w:trHeight w:val="262"/>
        </w:trPr>
        <w:tc>
          <w:tcPr>
            <w:tcW w:w="9557" w:type="dxa"/>
            <w:tcBorders>
              <w:top w:val="single" w:sz="4" w:space="0" w:color="000000"/>
              <w:left w:val="single" w:sz="4" w:space="0" w:color="000000"/>
              <w:bottom w:val="single" w:sz="4" w:space="0" w:color="000000"/>
              <w:right w:val="single" w:sz="4" w:space="0" w:color="000000"/>
            </w:tcBorders>
            <w:shd w:val="clear" w:color="auto" w:fill="D9D9D9"/>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Summary </w:t>
            </w:r>
          </w:p>
        </w:tc>
      </w:tr>
      <w:tr w:rsidR="006510AE">
        <w:trPr>
          <w:trHeight w:val="1441"/>
        </w:trPr>
        <w:tc>
          <w:tcPr>
            <w:tcW w:w="9557" w:type="dxa"/>
            <w:tcBorders>
              <w:top w:val="single" w:sz="4" w:space="0" w:color="000000"/>
              <w:left w:val="single" w:sz="4" w:space="0" w:color="000000"/>
              <w:bottom w:val="single" w:sz="4" w:space="0" w:color="000000"/>
              <w:right w:val="single" w:sz="4" w:space="0" w:color="000000"/>
            </w:tcBorders>
          </w:tcPr>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t xml:space="preserve">The intent of the subcommittee is to provide recommendations and guidance to the FTC for decision making associated with the implementation and evaluation of the HAP elements CRR Program.   </w:t>
            </w:r>
          </w:p>
        </w:tc>
      </w:tr>
    </w:tbl>
    <w:p w:rsidR="006510AE" w:rsidRDefault="008F4F1D">
      <w:pPr>
        <w:pBdr>
          <w:top w:val="none" w:sz="0" w:space="0" w:color="auto"/>
          <w:left w:val="none" w:sz="0" w:space="0" w:color="auto"/>
          <w:bottom w:val="none" w:sz="0" w:space="0" w:color="auto"/>
          <w:right w:val="none" w:sz="0" w:space="0" w:color="auto"/>
        </w:pBdr>
        <w:spacing w:after="0" w:line="259" w:lineRule="auto"/>
        <w:ind w:left="88" w:firstLine="0"/>
        <w:jc w:val="center"/>
      </w:pPr>
      <w:r>
        <w:rPr>
          <w:b/>
          <w:sz w:val="24"/>
        </w:rPr>
        <w:t xml:space="preserve"> </w:t>
      </w:r>
    </w:p>
    <w:sectPr w:rsidR="006510AE">
      <w:headerReference w:type="even" r:id="rId7"/>
      <w:headerReference w:type="default" r:id="rId8"/>
      <w:footerReference w:type="even" r:id="rId9"/>
      <w:footerReference w:type="default" r:id="rId10"/>
      <w:headerReference w:type="first" r:id="rId11"/>
      <w:footerReference w:type="first" r:id="rId12"/>
      <w:pgSz w:w="12240" w:h="15840"/>
      <w:pgMar w:top="1546" w:right="1460" w:bottom="1447" w:left="1440" w:header="728"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4F1D" w:rsidRDefault="008F4F1D">
      <w:pPr>
        <w:spacing w:after="0" w:line="240" w:lineRule="auto"/>
      </w:pPr>
      <w:r>
        <w:separator/>
      </w:r>
    </w:p>
  </w:endnote>
  <w:endnote w:type="continuationSeparator" w:id="0">
    <w:p w:rsidR="008F4F1D" w:rsidRDefault="008F4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0AE" w:rsidRDefault="008F4F1D">
    <w:pPr>
      <w:pBdr>
        <w:top w:val="none" w:sz="0" w:space="0" w:color="auto"/>
        <w:left w:val="none" w:sz="0" w:space="0" w:color="auto"/>
        <w:bottom w:val="none" w:sz="0" w:space="0" w:color="auto"/>
        <w:right w:val="none" w:sz="0" w:space="0" w:color="auto"/>
      </w:pBdr>
      <w:spacing w:after="0" w:line="259" w:lineRule="auto"/>
      <w:ind w:left="23"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0AE" w:rsidRDefault="008F4F1D">
    <w:pPr>
      <w:pBdr>
        <w:top w:val="none" w:sz="0" w:space="0" w:color="auto"/>
        <w:left w:val="none" w:sz="0" w:space="0" w:color="auto"/>
        <w:bottom w:val="none" w:sz="0" w:space="0" w:color="auto"/>
        <w:right w:val="none" w:sz="0" w:space="0" w:color="auto"/>
      </w:pBdr>
      <w:spacing w:after="0" w:line="259" w:lineRule="auto"/>
      <w:ind w:left="23"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0AE" w:rsidRDefault="008F4F1D">
    <w:pPr>
      <w:pBdr>
        <w:top w:val="none" w:sz="0" w:space="0" w:color="auto"/>
        <w:left w:val="none" w:sz="0" w:space="0" w:color="auto"/>
        <w:bottom w:val="none" w:sz="0" w:space="0" w:color="auto"/>
        <w:right w:val="none" w:sz="0" w:space="0" w:color="auto"/>
      </w:pBdr>
      <w:spacing w:after="0" w:line="259" w:lineRule="auto"/>
      <w:ind w:left="23"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4F1D" w:rsidRDefault="008F4F1D">
      <w:pPr>
        <w:spacing w:after="0" w:line="240" w:lineRule="auto"/>
      </w:pPr>
      <w:r>
        <w:separator/>
      </w:r>
    </w:p>
  </w:footnote>
  <w:footnote w:type="continuationSeparator" w:id="0">
    <w:p w:rsidR="008F4F1D" w:rsidRDefault="008F4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0AE" w:rsidRDefault="008F4F1D">
    <w:pPr>
      <w:pBdr>
        <w:top w:val="none" w:sz="0" w:space="0" w:color="auto"/>
        <w:left w:val="none" w:sz="0" w:space="0" w:color="auto"/>
        <w:bottom w:val="none" w:sz="0" w:space="0" w:color="auto"/>
        <w:right w:val="none" w:sz="0" w:space="0" w:color="auto"/>
      </w:pBdr>
      <w:tabs>
        <w:tab w:val="center" w:pos="4681"/>
        <w:tab w:val="right" w:pos="9340"/>
      </w:tabs>
      <w:spacing w:after="0" w:line="259" w:lineRule="auto"/>
      <w:ind w:left="0" w:right="-23" w:firstLine="0"/>
    </w:pPr>
    <w:r>
      <w:rPr>
        <w:b/>
        <w:sz w:val="24"/>
      </w:rPr>
      <w:t xml:space="preserve">Cowlitz Fish Technical Committee </w:t>
    </w:r>
    <w:r>
      <w:rPr>
        <w:b/>
        <w:sz w:val="24"/>
      </w:rPr>
      <w:tab/>
      <w:t xml:space="preserve"> </w:t>
    </w:r>
    <w:r>
      <w:rPr>
        <w:b/>
        <w:sz w:val="24"/>
      </w:rPr>
      <w:tab/>
      <w:t xml:space="preserve">2022-03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Decision Document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0AE" w:rsidRDefault="008F4F1D">
    <w:pPr>
      <w:pBdr>
        <w:top w:val="none" w:sz="0" w:space="0" w:color="auto"/>
        <w:left w:val="none" w:sz="0" w:space="0" w:color="auto"/>
        <w:bottom w:val="none" w:sz="0" w:space="0" w:color="auto"/>
        <w:right w:val="none" w:sz="0" w:space="0" w:color="auto"/>
      </w:pBdr>
      <w:tabs>
        <w:tab w:val="center" w:pos="4681"/>
        <w:tab w:val="right" w:pos="9340"/>
      </w:tabs>
      <w:spacing w:after="0" w:line="259" w:lineRule="auto"/>
      <w:ind w:left="0" w:right="-23" w:firstLine="0"/>
    </w:pPr>
    <w:r>
      <w:rPr>
        <w:b/>
        <w:sz w:val="24"/>
      </w:rPr>
      <w:t xml:space="preserve">Cowlitz Fish Technical Committee </w:t>
    </w:r>
    <w:r>
      <w:rPr>
        <w:b/>
        <w:sz w:val="24"/>
      </w:rPr>
      <w:tab/>
      <w:t xml:space="preserve"> </w:t>
    </w:r>
    <w:r>
      <w:rPr>
        <w:b/>
        <w:sz w:val="24"/>
      </w:rPr>
      <w:tab/>
      <w:t xml:space="preserve">2022-03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Decision Document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0AE" w:rsidRDefault="008F4F1D">
    <w:pPr>
      <w:pBdr>
        <w:top w:val="none" w:sz="0" w:space="0" w:color="auto"/>
        <w:left w:val="none" w:sz="0" w:space="0" w:color="auto"/>
        <w:bottom w:val="none" w:sz="0" w:space="0" w:color="auto"/>
        <w:right w:val="none" w:sz="0" w:space="0" w:color="auto"/>
      </w:pBdr>
      <w:tabs>
        <w:tab w:val="center" w:pos="4681"/>
        <w:tab w:val="right" w:pos="9340"/>
      </w:tabs>
      <w:spacing w:after="0" w:line="259" w:lineRule="auto"/>
      <w:ind w:left="0" w:right="-23" w:firstLine="0"/>
    </w:pPr>
    <w:r>
      <w:rPr>
        <w:b/>
        <w:sz w:val="24"/>
      </w:rPr>
      <w:t xml:space="preserve">Cowlitz Fish Technical Committee </w:t>
    </w:r>
    <w:r>
      <w:rPr>
        <w:b/>
        <w:sz w:val="24"/>
      </w:rPr>
      <w:tab/>
      <w:t xml:space="preserve"> </w:t>
    </w:r>
    <w:r>
      <w:rPr>
        <w:b/>
        <w:sz w:val="24"/>
      </w:rPr>
      <w:tab/>
      <w:t xml:space="preserve">2022-03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b/>
        <w:sz w:val="24"/>
      </w:rPr>
      <w:t xml:space="preserve">Decision Document </w:t>
    </w:r>
  </w:p>
  <w:p w:rsidR="006510AE" w:rsidRDefault="008F4F1D">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F1A2B"/>
    <w:multiLevelType w:val="hybridMultilevel"/>
    <w:tmpl w:val="5C3C083E"/>
    <w:lvl w:ilvl="0" w:tplc="91E2F4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7C51C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2EB81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12776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CEB8C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8C5F4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D851A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087AA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3221E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79273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0AE"/>
    <w:rsid w:val="006510AE"/>
    <w:rsid w:val="00682164"/>
    <w:rsid w:val="008D65D5"/>
    <w:rsid w:val="008F4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83CB6E-F6CE-4B9E-85CD-C4CE04BF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1" w:line="239" w:lineRule="auto"/>
      <w:ind w:left="123"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881</Words>
  <Characters>5024</Characters>
  <Application>Microsoft Office Word</Application>
  <DocSecurity>0</DocSecurity>
  <Lines>41</Lines>
  <Paragraphs>11</Paragraphs>
  <ScaleCrop>false</ScaleCrop>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tnelson1@cityoftacoma.org</dc:creator>
  <cp:keywords/>
  <cp:lastModifiedBy>Rick Pansegrau</cp:lastModifiedBy>
  <cp:revision>2</cp:revision>
  <dcterms:created xsi:type="dcterms:W3CDTF">2026-05-05T15:36:00Z</dcterms:created>
  <dcterms:modified xsi:type="dcterms:W3CDTF">2026-05-05T15:36:00Z</dcterms:modified>
</cp:coreProperties>
</file>